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A4F2C" w14:textId="77777777" w:rsidR="00FE3295" w:rsidRPr="00B3453B" w:rsidRDefault="00FE3295" w:rsidP="00FE3295">
      <w:pPr>
        <w:pStyle w:val="Overskrift1"/>
        <w:rPr>
          <w:rFonts w:ascii="Calibri" w:hAnsi="Calibri" w:cs="Calibri"/>
        </w:rPr>
      </w:pPr>
      <w:r w:rsidRPr="00B3453B">
        <w:rPr>
          <w:rFonts w:ascii="Calibri" w:hAnsi="Calibri" w:cs="Calibri"/>
        </w:rPr>
        <w:t xml:space="preserve">Hvad er Deltagelsesmuligheder for alle? </w:t>
      </w:r>
    </w:p>
    <w:p w14:paraId="6610E2E9" w14:textId="77777777" w:rsidR="003972F3" w:rsidRPr="00B3453B" w:rsidRDefault="003972F3" w:rsidP="00B3453B">
      <w:pPr>
        <w:spacing w:after="0"/>
        <w:rPr>
          <w:rFonts w:ascii="Calibri" w:hAnsi="Calibri" w:cs="Calibri"/>
          <w:sz w:val="22"/>
          <w:szCs w:val="22"/>
        </w:rPr>
      </w:pPr>
    </w:p>
    <w:p w14:paraId="4EF15B93" w14:textId="25F89DDD" w:rsidR="003972F3" w:rsidRPr="00FE3295" w:rsidRDefault="003972F3" w:rsidP="00FE3295">
      <w:pPr>
        <w:rPr>
          <w:rFonts w:ascii="Calibri" w:hAnsi="Calibri" w:cs="Calibri"/>
          <w:sz w:val="22"/>
          <w:szCs w:val="22"/>
        </w:rPr>
      </w:pPr>
      <w:r w:rsidRPr="00B3453B">
        <w:rPr>
          <w:rFonts w:ascii="Calibri" w:hAnsi="Calibri" w:cs="Calibri"/>
          <w:noProof/>
          <w:sz w:val="22"/>
          <w:szCs w:val="22"/>
        </w:rPr>
        <mc:AlternateContent>
          <mc:Choice Requires="wps">
            <w:drawing>
              <wp:anchor distT="0" distB="0" distL="114300" distR="114300" simplePos="0" relativeHeight="251659264" behindDoc="0" locked="0" layoutInCell="1" allowOverlap="1" wp14:anchorId="590AF49D" wp14:editId="3CD3D755">
                <wp:simplePos x="0" y="0"/>
                <wp:positionH relativeFrom="margin">
                  <wp:align>right</wp:align>
                </wp:positionH>
                <wp:positionV relativeFrom="paragraph">
                  <wp:posOffset>563024</wp:posOffset>
                </wp:positionV>
                <wp:extent cx="6106160" cy="2726690"/>
                <wp:effectExtent l="0" t="0" r="8890" b="0"/>
                <wp:wrapTopAndBottom/>
                <wp:docPr id="1002778604" name="Rektangel 1"/>
                <wp:cNvGraphicFramePr/>
                <a:graphic xmlns:a="http://schemas.openxmlformats.org/drawingml/2006/main">
                  <a:graphicData uri="http://schemas.microsoft.com/office/word/2010/wordprocessingShape">
                    <wps:wsp>
                      <wps:cNvSpPr/>
                      <wps:spPr>
                        <a:xfrm>
                          <a:off x="0" y="0"/>
                          <a:ext cx="6106601" cy="2726690"/>
                        </a:xfrm>
                        <a:prstGeom prst="rect">
                          <a:avLst/>
                        </a:prstGeom>
                        <a:solidFill>
                          <a:schemeClr val="tx2">
                            <a:lumMod val="25000"/>
                            <a:lumOff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B582F9C" w14:textId="648EC010" w:rsidR="00FE3295" w:rsidRPr="003972F3" w:rsidRDefault="00FE3295" w:rsidP="003972F3">
                            <w:pPr>
                              <w:rPr>
                                <w:color w:val="000000" w:themeColor="text1"/>
                                <w:sz w:val="22"/>
                                <w:szCs w:val="22"/>
                              </w:rPr>
                            </w:pPr>
                            <w:r w:rsidRPr="00FE3295">
                              <w:rPr>
                                <w:b/>
                                <w:bCs/>
                                <w:color w:val="000000" w:themeColor="text1"/>
                                <w:sz w:val="22"/>
                                <w:szCs w:val="22"/>
                              </w:rPr>
                              <w:t xml:space="preserve">Alle børn og unge er værdifulde og har unikke potentialer </w:t>
                            </w:r>
                          </w:p>
                          <w:p w14:paraId="13A03C5C" w14:textId="38FADF60" w:rsidR="00FE3295" w:rsidRPr="003972F3" w:rsidRDefault="00FE3295" w:rsidP="00FE3295">
                            <w:pPr>
                              <w:spacing w:before="240"/>
                              <w:rPr>
                                <w:b/>
                                <w:bCs/>
                                <w:color w:val="000000" w:themeColor="text1"/>
                                <w:sz w:val="20"/>
                                <w:szCs w:val="20"/>
                              </w:rPr>
                            </w:pPr>
                            <w:r w:rsidRPr="00FE3295">
                              <w:rPr>
                                <w:color w:val="000000" w:themeColor="text1"/>
                                <w:sz w:val="20"/>
                                <w:szCs w:val="20"/>
                              </w:rPr>
                              <w:t>Børn og unge er sociale, og de har ret til at deltage i fællesskaber, hvor de lærer og trives. Vi ser børn og unge som aktive og værdifulde individer, der gennem handlinger og dialog med andre børn, unge og voksne er med til at skabe udvikling og læring. At være barn og ung har en værdi i sig selv. Derfor møder vi møder børn og unge med tillid, anerkendelse og positive forventninger og med fokus på deres styrker og potentialer. Vi inddrager børn og unge under hensyntagen til deres udvikling og modenhed.</w:t>
                            </w:r>
                          </w:p>
                          <w:p w14:paraId="6243DA0E" w14:textId="13ED59F1" w:rsidR="00FE3295" w:rsidRPr="00FE3295" w:rsidRDefault="00FE3295" w:rsidP="00FE3295">
                            <w:pPr>
                              <w:spacing w:before="240"/>
                              <w:rPr>
                                <w:color w:val="000000" w:themeColor="text1"/>
                                <w:sz w:val="22"/>
                                <w:szCs w:val="22"/>
                              </w:rPr>
                            </w:pPr>
                            <w:r w:rsidRPr="00FE3295">
                              <w:rPr>
                                <w:b/>
                                <w:bCs/>
                                <w:color w:val="000000" w:themeColor="text1"/>
                                <w:sz w:val="22"/>
                                <w:szCs w:val="22"/>
                              </w:rPr>
                              <w:t xml:space="preserve">Børn og unges primære platform er familien </w:t>
                            </w:r>
                          </w:p>
                          <w:p w14:paraId="601131BC" w14:textId="77777777" w:rsidR="00FE3295" w:rsidRPr="00FE3295" w:rsidRDefault="00FE3295" w:rsidP="00FE3295">
                            <w:pPr>
                              <w:rPr>
                                <w:color w:val="000000" w:themeColor="text1"/>
                                <w:sz w:val="20"/>
                                <w:szCs w:val="20"/>
                              </w:rPr>
                            </w:pPr>
                            <w:r w:rsidRPr="00FE3295">
                              <w:rPr>
                                <w:color w:val="000000" w:themeColor="text1"/>
                                <w:sz w:val="20"/>
                                <w:szCs w:val="20"/>
                              </w:rPr>
                              <w:t xml:space="preserve">Forældre er de vigtigste voksne i børns liv. Vi ser børn og unge i et familiefællesskab og i et samlet familieperspektiv. Derfor ønsker vi et tæt samspil med børnene, de unge og deres forældre, der er båret af gensidig respekt og tydelige forventninger til hinanden. </w:t>
                            </w:r>
                          </w:p>
                          <w:p w14:paraId="2334074F" w14:textId="248FACA6" w:rsidR="00FE3295" w:rsidRPr="003972F3" w:rsidRDefault="00FE3295" w:rsidP="00FE3295">
                            <w:pPr>
                              <w:rPr>
                                <w:color w:val="000000" w:themeColor="text1"/>
                                <w:sz w:val="16"/>
                                <w:szCs w:val="16"/>
                              </w:rPr>
                            </w:pPr>
                            <w:r w:rsidRPr="00FE3295">
                              <w:rPr>
                                <w:i/>
                                <w:iCs/>
                                <w:color w:val="000000" w:themeColor="text1"/>
                                <w:sz w:val="16"/>
                                <w:szCs w:val="16"/>
                              </w:rPr>
                              <w:t xml:space="preserve">Gladsaxe Kommunes Børne- og </w:t>
                            </w:r>
                            <w:proofErr w:type="spellStart"/>
                            <w:r w:rsidRPr="00FE3295">
                              <w:rPr>
                                <w:i/>
                                <w:iCs/>
                                <w:color w:val="000000" w:themeColor="text1"/>
                                <w:sz w:val="16"/>
                                <w:szCs w:val="16"/>
                              </w:rPr>
                              <w:t>Skolepolitik</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0AF49D" id="Rektangel 1" o:spid="_x0000_s1026" style="position:absolute;margin-left:429.6pt;margin-top:44.35pt;width:480.8pt;height:214.7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" fillcolor="#a7caec [831]" stroked="f" strokeweight="1pt">
                <v:textbox>
                  <w:txbxContent>
                    <w:p w14:paraId="0B582F9C" w14:textId="648EC010" w:rsidR="00FE3295" w:rsidRPr="003972F3" w:rsidRDefault="00FE3295" w:rsidP="003972F3">
                      <w:pPr>
                        <w:rPr>
                          <w:color w:val="000000" w:themeColor="text1"/>
                          <w:sz w:val="22"/>
                          <w:szCs w:val="22"/>
                        </w:rPr>
                      </w:pPr>
                      <w:r w:rsidRPr="00FE3295">
                        <w:rPr>
                          <w:b/>
                          <w:bCs/>
                          <w:color w:val="000000" w:themeColor="text1"/>
                          <w:sz w:val="22"/>
                          <w:szCs w:val="22"/>
                        </w:rPr>
                        <w:t xml:space="preserve">Alle børn og unge er værdifulde og har unikke potentialer </w:t>
                      </w:r>
                    </w:p>
                    <w:p w14:paraId="13A03C5C" w14:textId="38FADF60" w:rsidR="00FE3295" w:rsidRPr="003972F3" w:rsidRDefault="00FE3295" w:rsidP="00FE3295">
                      <w:pPr>
                        <w:spacing w:before="240"/>
                        <w:rPr>
                          <w:b/>
                          <w:bCs/>
                          <w:color w:val="000000" w:themeColor="text1"/>
                          <w:sz w:val="20"/>
                          <w:szCs w:val="20"/>
                        </w:rPr>
                      </w:pPr>
                      <w:r w:rsidRPr="00FE3295">
                        <w:rPr>
                          <w:color w:val="000000" w:themeColor="text1"/>
                          <w:sz w:val="20"/>
                          <w:szCs w:val="20"/>
                        </w:rPr>
                        <w:t>Børn og unge er sociale, og de har ret til at deltage i fællesskaber, hvor de lærer og trives. Vi ser børn og unge som aktive og værdifulde individer, der gennem handlinger og dialog med andre børn, unge og voksne er med til at skabe udvikling og læring. At være barn og ung har en værdi i sig selv. Derfor møder vi møder børn og unge med tillid, anerkendelse og positive forventninger og med fokus på deres styrker og potentialer. Vi inddrager børn og unge under hensyntagen til deres udvikling og modenhed.</w:t>
                      </w:r>
                    </w:p>
                    <w:p w14:paraId="6243DA0E" w14:textId="13ED59F1" w:rsidR="00FE3295" w:rsidRPr="00FE3295" w:rsidRDefault="00FE3295" w:rsidP="00FE3295">
                      <w:pPr>
                        <w:spacing w:before="240"/>
                        <w:rPr>
                          <w:color w:val="000000" w:themeColor="text1"/>
                          <w:sz w:val="22"/>
                          <w:szCs w:val="22"/>
                        </w:rPr>
                      </w:pPr>
                      <w:r w:rsidRPr="00FE3295">
                        <w:rPr>
                          <w:b/>
                          <w:bCs/>
                          <w:color w:val="000000" w:themeColor="text1"/>
                          <w:sz w:val="22"/>
                          <w:szCs w:val="22"/>
                        </w:rPr>
                        <w:t xml:space="preserve">Børn og unges primære platform er familien </w:t>
                      </w:r>
                    </w:p>
                    <w:p w14:paraId="601131BC" w14:textId="77777777" w:rsidR="00FE3295" w:rsidRPr="00FE3295" w:rsidRDefault="00FE3295" w:rsidP="00FE3295">
                      <w:pPr>
                        <w:rPr>
                          <w:color w:val="000000" w:themeColor="text1"/>
                          <w:sz w:val="20"/>
                          <w:szCs w:val="20"/>
                        </w:rPr>
                      </w:pPr>
                      <w:r w:rsidRPr="00FE3295">
                        <w:rPr>
                          <w:color w:val="000000" w:themeColor="text1"/>
                          <w:sz w:val="20"/>
                          <w:szCs w:val="20"/>
                        </w:rPr>
                        <w:t xml:space="preserve">Forældre er de vigtigste voksne i børns liv. Vi ser børn og unge i et familiefællesskab og i et samlet familieperspektiv. Derfor ønsker vi et tæt samspil med børnene, de unge og deres forældre, der er båret af gensidig respekt og tydelige forventninger til hinanden. </w:t>
                      </w:r>
                    </w:p>
                    <w:p w14:paraId="2334074F" w14:textId="248FACA6" w:rsidR="00FE3295" w:rsidRPr="003972F3" w:rsidRDefault="00FE3295" w:rsidP="00FE3295">
                      <w:pPr>
                        <w:rPr>
                          <w:color w:val="000000" w:themeColor="text1"/>
                          <w:sz w:val="16"/>
                          <w:szCs w:val="16"/>
                        </w:rPr>
                      </w:pPr>
                      <w:r w:rsidRPr="00FE3295">
                        <w:rPr>
                          <w:i/>
                          <w:iCs/>
                          <w:color w:val="000000" w:themeColor="text1"/>
                          <w:sz w:val="16"/>
                          <w:szCs w:val="16"/>
                        </w:rPr>
                        <w:t xml:space="preserve">Gladsaxe Kommunes Børne- og </w:t>
                      </w:r>
                      <w:proofErr w:type="spellStart"/>
                      <w:r w:rsidRPr="00FE3295">
                        <w:rPr>
                          <w:i/>
                          <w:iCs/>
                          <w:color w:val="000000" w:themeColor="text1"/>
                          <w:sz w:val="16"/>
                          <w:szCs w:val="16"/>
                        </w:rPr>
                        <w:t>Skolepolitik</w:t>
                      </w:r>
                      <w:proofErr w:type="spellEnd"/>
                    </w:p>
                  </w:txbxContent>
                </v:textbox>
                <w10:wrap type="topAndBottom" anchorx="margin"/>
              </v:rect>
            </w:pict>
          </mc:Fallback>
        </mc:AlternateContent>
      </w:r>
      <w:r w:rsidR="00FE3295" w:rsidRPr="00FE3295">
        <w:rPr>
          <w:rFonts w:ascii="Calibri" w:hAnsi="Calibri" w:cs="Calibri"/>
          <w:sz w:val="22"/>
          <w:szCs w:val="22"/>
        </w:rPr>
        <w:t>Deltagelsesmuligheder for alle tager afsæt i Gladsaxe Kommunes børnesyn, som det er formuleret i Børne- og Skolepolitikken.</w:t>
      </w:r>
    </w:p>
    <w:p w14:paraId="331F999F" w14:textId="67EC9F3B" w:rsidR="00FE3295" w:rsidRPr="00FE3295" w:rsidRDefault="00FE3295" w:rsidP="00FE3295">
      <w:pPr>
        <w:rPr>
          <w:rFonts w:ascii="Calibri" w:hAnsi="Calibri" w:cs="Calibri"/>
          <w:sz w:val="22"/>
          <w:szCs w:val="22"/>
        </w:rPr>
      </w:pPr>
      <w:r w:rsidRPr="00FE3295">
        <w:rPr>
          <w:rFonts w:ascii="Calibri" w:hAnsi="Calibri" w:cs="Calibri"/>
          <w:sz w:val="22"/>
          <w:szCs w:val="22"/>
        </w:rPr>
        <w:t xml:space="preserve"> </w:t>
      </w:r>
    </w:p>
    <w:p w14:paraId="0F9A9C31" w14:textId="77777777" w:rsidR="00FE3295" w:rsidRPr="00B3453B" w:rsidRDefault="00FE3295" w:rsidP="00FE3295">
      <w:pPr>
        <w:rPr>
          <w:rFonts w:ascii="Calibri" w:hAnsi="Calibri" w:cs="Calibri"/>
          <w:sz w:val="22"/>
          <w:szCs w:val="22"/>
        </w:rPr>
      </w:pPr>
      <w:r w:rsidRPr="00FE3295">
        <w:rPr>
          <w:rFonts w:ascii="Calibri" w:hAnsi="Calibri" w:cs="Calibri"/>
          <w:sz w:val="22"/>
          <w:szCs w:val="22"/>
        </w:rPr>
        <w:t>Værdigrundlaget for Deltagelsesmuligheder for alle tager afsæt i ovenstående børnesyn og retter sig mod den faglige praksis. Værdierne er formuleret som fire pejlemærker. Hensigten er, at de skal bidrage til en praksis, hvor vi aktivt og vedholdende spejler vores praksis og udvikling i pejlemærkerne. Det gør vi, når vi aktivt forholder os til pejlemærkerne i faglige dialoger, samtaler og samarbejder, der udvikler Deltagelsesmuligheder for alle i Gladsaxe.</w:t>
      </w:r>
    </w:p>
    <w:p w14:paraId="7096AD94" w14:textId="68DAC158" w:rsidR="00FE3295" w:rsidRPr="00FE3295" w:rsidRDefault="00FE3295" w:rsidP="00FE3295">
      <w:pPr>
        <w:rPr>
          <w:rFonts w:ascii="Calibri" w:hAnsi="Calibri" w:cs="Calibri"/>
          <w:sz w:val="22"/>
          <w:szCs w:val="22"/>
        </w:rPr>
      </w:pPr>
    </w:p>
    <w:p w14:paraId="0DEACD10" w14:textId="49D0FA46" w:rsidR="00FE3295" w:rsidRPr="00FE3295" w:rsidRDefault="00FE3295" w:rsidP="00FE3295">
      <w:pPr>
        <w:rPr>
          <w:rFonts w:ascii="Calibri" w:hAnsi="Calibri" w:cs="Calibri"/>
        </w:rPr>
      </w:pPr>
      <w:r w:rsidRPr="00FE3295">
        <w:rPr>
          <w:rFonts w:ascii="Calibri" w:hAnsi="Calibri" w:cs="Calibri"/>
          <w:b/>
          <w:bCs/>
        </w:rPr>
        <w:t xml:space="preserve">Pejlemærker </w:t>
      </w:r>
    </w:p>
    <w:p w14:paraId="03C99D15" w14:textId="58B82B8A" w:rsidR="00FE3295" w:rsidRPr="00B3453B" w:rsidRDefault="00FE3295" w:rsidP="00FE3295">
      <w:pPr>
        <w:pStyle w:val="Listeafsnit"/>
        <w:numPr>
          <w:ilvl w:val="0"/>
          <w:numId w:val="2"/>
        </w:numPr>
        <w:rPr>
          <w:rFonts w:ascii="Calibri" w:hAnsi="Calibri" w:cs="Calibri"/>
          <w:sz w:val="22"/>
          <w:szCs w:val="22"/>
        </w:rPr>
      </w:pPr>
      <w:r w:rsidRPr="00B3453B">
        <w:rPr>
          <w:rFonts w:ascii="Calibri" w:hAnsi="Calibri" w:cs="Calibri"/>
          <w:sz w:val="22"/>
          <w:szCs w:val="22"/>
        </w:rPr>
        <w:t xml:space="preserve">Vi samarbejder om at skabe og øge deltagelsesmuligheder i fællesskaber for alle børn og unge i Gladsaxe </w:t>
      </w:r>
    </w:p>
    <w:p w14:paraId="689BDFEE" w14:textId="520EDAA2" w:rsidR="00FE3295" w:rsidRPr="00B3453B" w:rsidRDefault="00FE3295" w:rsidP="00FE3295">
      <w:pPr>
        <w:pStyle w:val="Listeafsnit"/>
        <w:numPr>
          <w:ilvl w:val="0"/>
          <w:numId w:val="2"/>
        </w:numPr>
        <w:rPr>
          <w:rFonts w:ascii="Calibri" w:hAnsi="Calibri" w:cs="Calibri"/>
          <w:sz w:val="22"/>
          <w:szCs w:val="22"/>
        </w:rPr>
      </w:pPr>
      <w:r w:rsidRPr="00B3453B">
        <w:rPr>
          <w:rFonts w:ascii="Calibri" w:hAnsi="Calibri" w:cs="Calibri"/>
          <w:sz w:val="22"/>
          <w:szCs w:val="22"/>
        </w:rPr>
        <w:t xml:space="preserve">Vi samarbejder med det mål at etablere den støtte, som børn og unge har brug for, så tæt på det almene område som muligt </w:t>
      </w:r>
    </w:p>
    <w:p w14:paraId="3EEA9B3B" w14:textId="08605B0D" w:rsidR="00FE3295" w:rsidRPr="00B3453B" w:rsidRDefault="00FE3295" w:rsidP="00FE3295">
      <w:pPr>
        <w:pStyle w:val="Listeafsnit"/>
        <w:numPr>
          <w:ilvl w:val="0"/>
          <w:numId w:val="2"/>
        </w:numPr>
        <w:rPr>
          <w:rFonts w:ascii="Calibri" w:hAnsi="Calibri" w:cs="Calibri"/>
          <w:sz w:val="22"/>
          <w:szCs w:val="22"/>
        </w:rPr>
      </w:pPr>
      <w:r w:rsidRPr="00B3453B">
        <w:rPr>
          <w:rFonts w:ascii="Calibri" w:hAnsi="Calibri" w:cs="Calibri"/>
          <w:sz w:val="22"/>
          <w:szCs w:val="22"/>
        </w:rPr>
        <w:t xml:space="preserve">Vi samarbejder med afsæt i barnets stemme med nysgerrighed på barnets kompetencer, talenter, drømme og ønsker såvel som de behov og udfordringer, der stiller sig i vejen </w:t>
      </w:r>
    </w:p>
    <w:p w14:paraId="47FBC282" w14:textId="4F047D6D" w:rsidR="00FE3295" w:rsidRPr="00B3453B" w:rsidRDefault="00FE3295" w:rsidP="00FE3295">
      <w:pPr>
        <w:pStyle w:val="Listeafsnit"/>
        <w:numPr>
          <w:ilvl w:val="0"/>
          <w:numId w:val="2"/>
        </w:numPr>
        <w:rPr>
          <w:rFonts w:ascii="Calibri" w:hAnsi="Calibri" w:cs="Calibri"/>
          <w:sz w:val="22"/>
          <w:szCs w:val="22"/>
        </w:rPr>
      </w:pPr>
      <w:r w:rsidRPr="00B3453B">
        <w:rPr>
          <w:rFonts w:ascii="Calibri" w:hAnsi="Calibri" w:cs="Calibri"/>
          <w:sz w:val="22"/>
          <w:szCs w:val="22"/>
        </w:rPr>
        <w:t xml:space="preserve">Vi tager udgangspunkt i familiernes livssituation og understøtter deres ressourcer og kompetencer, så børnene får det bedst mulige afsæt for at udleve deres potentialer </w:t>
      </w:r>
    </w:p>
    <w:sectPr w:rsidR="00FE3295" w:rsidRPr="00B3453B">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1D1AC3"/>
    <w:multiLevelType w:val="hybridMultilevel"/>
    <w:tmpl w:val="E264983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3C1C73C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758529340">
    <w:abstractNumId w:val="1"/>
  </w:num>
  <w:num w:numId="2" w16cid:durableId="9513285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295"/>
    <w:rsid w:val="003972F3"/>
    <w:rsid w:val="004359BE"/>
    <w:rsid w:val="008B62BD"/>
    <w:rsid w:val="00B3453B"/>
    <w:rsid w:val="00D565B4"/>
    <w:rsid w:val="00FE329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363C7"/>
  <w15:chartTrackingRefBased/>
  <w15:docId w15:val="{72A69BBE-F97C-4E4C-8ABA-56124299B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a-D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FE32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FE32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FE3295"/>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FE3295"/>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FE3295"/>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FE3295"/>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FE3295"/>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FE3295"/>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FE3295"/>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FE3295"/>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FE3295"/>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FE3295"/>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FE3295"/>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FE3295"/>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FE3295"/>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FE3295"/>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FE3295"/>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FE3295"/>
    <w:rPr>
      <w:rFonts w:eastAsiaTheme="majorEastAsia" w:cstheme="majorBidi"/>
      <w:color w:val="272727" w:themeColor="text1" w:themeTint="D8"/>
    </w:rPr>
  </w:style>
  <w:style w:type="paragraph" w:styleId="Titel">
    <w:name w:val="Title"/>
    <w:basedOn w:val="Normal"/>
    <w:next w:val="Normal"/>
    <w:link w:val="TitelTegn"/>
    <w:uiPriority w:val="10"/>
    <w:qFormat/>
    <w:rsid w:val="00FE32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FE3295"/>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FE3295"/>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FE3295"/>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FE3295"/>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FE3295"/>
    <w:rPr>
      <w:i/>
      <w:iCs/>
      <w:color w:val="404040" w:themeColor="text1" w:themeTint="BF"/>
    </w:rPr>
  </w:style>
  <w:style w:type="paragraph" w:styleId="Listeafsnit">
    <w:name w:val="List Paragraph"/>
    <w:basedOn w:val="Normal"/>
    <w:uiPriority w:val="34"/>
    <w:qFormat/>
    <w:rsid w:val="00FE3295"/>
    <w:pPr>
      <w:ind w:left="720"/>
      <w:contextualSpacing/>
    </w:pPr>
  </w:style>
  <w:style w:type="character" w:styleId="Kraftigfremhvning">
    <w:name w:val="Intense Emphasis"/>
    <w:basedOn w:val="Standardskrifttypeiafsnit"/>
    <w:uiPriority w:val="21"/>
    <w:qFormat/>
    <w:rsid w:val="00FE3295"/>
    <w:rPr>
      <w:i/>
      <w:iCs/>
      <w:color w:val="0F4761" w:themeColor="accent1" w:themeShade="BF"/>
    </w:rPr>
  </w:style>
  <w:style w:type="paragraph" w:styleId="Strktcitat">
    <w:name w:val="Intense Quote"/>
    <w:basedOn w:val="Normal"/>
    <w:next w:val="Normal"/>
    <w:link w:val="StrktcitatTegn"/>
    <w:uiPriority w:val="30"/>
    <w:qFormat/>
    <w:rsid w:val="00FE32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FE3295"/>
    <w:rPr>
      <w:i/>
      <w:iCs/>
      <w:color w:val="0F4761" w:themeColor="accent1" w:themeShade="BF"/>
    </w:rPr>
  </w:style>
  <w:style w:type="character" w:styleId="Kraftighenvisning">
    <w:name w:val="Intense Reference"/>
    <w:basedOn w:val="Standardskrifttypeiafsnit"/>
    <w:uiPriority w:val="32"/>
    <w:qFormat/>
    <w:rsid w:val="00FE32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1028</Characters>
  <Application>Microsoft Office Word</Application>
  <DocSecurity>4</DocSecurity>
  <Lines>20</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Pernille Præstmose Christiansen</dc:creator>
  <cp:keywords/>
  <dc:description/>
  <cp:lastModifiedBy>Maria Adelsten</cp:lastModifiedBy>
  <cp:revision>2</cp:revision>
  <dcterms:created xsi:type="dcterms:W3CDTF">2026-02-27T10:32:00Z</dcterms:created>
  <dcterms:modified xsi:type="dcterms:W3CDTF">2026-02-27T10:32:00Z</dcterms:modified>
</cp:coreProperties>
</file>